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4E8C2" w14:textId="77777777" w:rsidR="002B7443" w:rsidRPr="003B22D2" w:rsidRDefault="002B7443" w:rsidP="00F85CFC">
      <w:pPr>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14:paraId="6B823B6E" w14:textId="77777777"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14:paraId="7E2EECCF" w14:textId="77777777"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14:paraId="693FB928" w14:textId="77777777" w:rsidR="002B7443" w:rsidRDefault="002B7443" w:rsidP="002B7443">
      <w:pPr>
        <w:jc w:val="both"/>
        <w:rPr>
          <w:rFonts w:ascii="Arial" w:hAnsi="Arial" w:cs="Arial"/>
          <w:sz w:val="20"/>
          <w:szCs w:val="20"/>
        </w:rPr>
      </w:pPr>
    </w:p>
    <w:p w14:paraId="4CAF2C64"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/xxx</w:t>
      </w:r>
    </w:p>
    <w:p w14:paraId="7746D1A4"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14:paraId="72E56E32" w14:textId="6020AF95"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683083">
        <w:rPr>
          <w:rFonts w:ascii="Arial" w:hAnsi="Arial" w:cs="Arial"/>
          <w:b/>
          <w:sz w:val="19"/>
          <w:szCs w:val="19"/>
        </w:rPr>
        <w:t>500 352 0139 / 532 351 0001</w:t>
      </w:r>
    </w:p>
    <w:p w14:paraId="66C16A79" w14:textId="77777777"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14:paraId="251E9CF8" w14:textId="77777777"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14:paraId="227896FC" w14:textId="305CCEF8"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C140E3" w:rsidRPr="00C140E3">
        <w:rPr>
          <w:rFonts w:ascii="Arial" w:eastAsia="Calibri" w:hAnsi="Arial" w:cs="Arial"/>
          <w:b/>
          <w:sz w:val="28"/>
          <w:szCs w:val="28"/>
          <w:lang w:eastAsia="en-US"/>
        </w:rPr>
        <w:t>Rekonstrukce výpravní budovy v žst. Plzeň hl. n.</w:t>
      </w:r>
      <w:r w:rsidRPr="00C140E3">
        <w:rPr>
          <w:rFonts w:ascii="Arial" w:eastAsia="Calibri" w:hAnsi="Arial" w:cs="Arial"/>
          <w:b/>
          <w:sz w:val="28"/>
          <w:szCs w:val="28"/>
          <w:lang w:eastAsia="en-US"/>
        </w:rPr>
        <w:t>“</w:t>
      </w:r>
    </w:p>
    <w:p w14:paraId="07450091" w14:textId="77777777" w:rsidR="002B7443" w:rsidRPr="00D45655" w:rsidRDefault="002B7443" w:rsidP="002B7443">
      <w:pPr>
        <w:pStyle w:val="Podnadpis"/>
        <w:spacing w:before="240" w:after="120"/>
      </w:pPr>
      <w:r w:rsidRPr="00D45655">
        <w:t>Čl.1 -  Smluvní strany</w:t>
      </w:r>
    </w:p>
    <w:p w14:paraId="7D3364EF" w14:textId="77777777"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37B40FBF" w14:textId="77777777"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14:paraId="11CCF405"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14:paraId="7EBA314A"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14:paraId="4801DD0B"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zapsaná v OR u Městského soudu v Praze, oddíl A, vložka 48384</w:t>
      </w:r>
      <w:r w:rsidRPr="00F0777A">
        <w:rPr>
          <w:rFonts w:ascii="Arial" w:hAnsi="Arial" w:cs="Arial"/>
          <w:bCs/>
          <w:sz w:val="19"/>
          <w:szCs w:val="19"/>
        </w:rPr>
        <w:tab/>
      </w:r>
    </w:p>
    <w:p w14:paraId="0A89BDE6" w14:textId="77777777" w:rsidR="006045A1" w:rsidRPr="00F0777A" w:rsidRDefault="006045A1" w:rsidP="006045A1">
      <w:pPr>
        <w:ind w:left="567"/>
        <w:rPr>
          <w:rFonts w:ascii="Arial" w:hAnsi="Arial" w:cs="Arial"/>
          <w:sz w:val="19"/>
          <w:szCs w:val="19"/>
        </w:rPr>
      </w:pPr>
    </w:p>
    <w:p w14:paraId="6146DE4B"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Ing. Petrem Hofhanzlem</w:t>
      </w:r>
      <w:r w:rsidRPr="00F0777A">
        <w:rPr>
          <w:rFonts w:ascii="Arial" w:hAnsi="Arial" w:cs="Arial"/>
          <w:sz w:val="19"/>
          <w:szCs w:val="19"/>
        </w:rPr>
        <w:t xml:space="preserve">, ředitelem Stavební správy západ                                                       </w:t>
      </w:r>
    </w:p>
    <w:p w14:paraId="76CAD6DC" w14:textId="77777777"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14:paraId="5EA19A2D" w14:textId="77777777"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14:paraId="78A48BAF" w14:textId="77777777"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14:paraId="5B8FA285" w14:textId="77777777"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r>
          <w:rPr>
            <w:rStyle w:val="Hypertextovodkaz"/>
            <w:rFonts w:ascii="Arial" w:hAnsi="Arial" w:cs="Arial"/>
            <w:sz w:val="19"/>
            <w:szCs w:val="19"/>
          </w:rPr>
          <w:t>@spravazeleznic</w:t>
        </w:r>
        <w:r w:rsidRPr="00F0777A">
          <w:rPr>
            <w:rStyle w:val="Hypertextovodkaz"/>
            <w:rFonts w:ascii="Arial" w:hAnsi="Arial" w:cs="Arial"/>
            <w:sz w:val="19"/>
            <w:szCs w:val="19"/>
          </w:rPr>
          <w:t>.cz</w:t>
        </w:r>
      </w:hyperlink>
    </w:p>
    <w:p w14:paraId="305AC287" w14:textId="77777777"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 a faktur:</w:t>
      </w:r>
    </w:p>
    <w:p w14:paraId="24E57256" w14:textId="77777777" w:rsidR="006045A1" w:rsidRPr="00F0777A" w:rsidRDefault="006045A1" w:rsidP="006045A1">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14:paraId="1160170D"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Stavební správa západ, Sokolovská 1955/278, Praha 9, PSČ 190 00</w:t>
      </w:r>
    </w:p>
    <w:p w14:paraId="2E60FDFA" w14:textId="77777777" w:rsidR="006045A1" w:rsidRPr="00F0777A" w:rsidRDefault="006045A1" w:rsidP="006045A1">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14:paraId="59FC38C2" w14:textId="77777777"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14:paraId="3C1A5B9E"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14:paraId="5A39A0E0"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14:paraId="6FDDA177" w14:textId="77777777"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14:paraId="2488483F"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14:paraId="1B484FA9"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14:paraId="4024D7C4" w14:textId="77777777" w:rsidR="002B7443" w:rsidRPr="00F778C2" w:rsidRDefault="002B7443" w:rsidP="002B7443">
      <w:pPr>
        <w:ind w:left="567"/>
        <w:rPr>
          <w:rFonts w:ascii="Arial" w:hAnsi="Arial" w:cs="Arial"/>
          <w:sz w:val="19"/>
          <w:szCs w:val="19"/>
        </w:rPr>
      </w:pPr>
    </w:p>
    <w:p w14:paraId="60765E15"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14:paraId="38042A57"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14:paraId="12D915DD"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14:paraId="2D2872FD"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14:paraId="03D01421" w14:textId="77777777"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14:paraId="60A0DCA6" w14:textId="77777777"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14:paraId="163DC205"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14:paraId="5A48FB01" w14:textId="77777777"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14:paraId="3CD23040" w14:textId="77777777" w:rsidR="00935AC5" w:rsidRDefault="00935AC5" w:rsidP="00935AC5"/>
    <w:p w14:paraId="6691EDC0" w14:textId="77777777" w:rsidR="00F778C2" w:rsidRDefault="00F778C2" w:rsidP="00935AC5"/>
    <w:p w14:paraId="41312A74" w14:textId="1A71664F" w:rsidR="00F60761" w:rsidRDefault="00F60761" w:rsidP="00F85CFC">
      <w:pPr>
        <w:tabs>
          <w:tab w:val="left" w:pos="5130"/>
        </w:tabs>
        <w:rPr>
          <w:rFonts w:ascii="Arial" w:hAnsi="Arial" w:cs="Arial"/>
          <w:b/>
          <w:u w:val="single"/>
        </w:rPr>
      </w:pPr>
    </w:p>
    <w:p w14:paraId="16368B52" w14:textId="2A4161B0"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lastRenderedPageBreak/>
        <w:t>Č</w:t>
      </w:r>
      <w:r w:rsidR="002B7443" w:rsidRPr="00647A7E">
        <w:rPr>
          <w:rFonts w:ascii="Arial" w:hAnsi="Arial" w:cs="Arial"/>
          <w:b/>
          <w:u w:val="single"/>
        </w:rPr>
        <w:t>l.</w:t>
      </w:r>
      <w:r w:rsidR="00F85CFC">
        <w:rPr>
          <w:rFonts w:ascii="Arial" w:hAnsi="Arial" w:cs="Arial"/>
          <w:b/>
          <w:u w:val="single"/>
        </w:rPr>
        <w:t xml:space="preserve"> 2 - </w:t>
      </w:r>
      <w:r w:rsidR="002B7443" w:rsidRPr="00647A7E">
        <w:rPr>
          <w:rFonts w:ascii="Arial" w:hAnsi="Arial" w:cs="Arial"/>
          <w:b/>
          <w:u w:val="single"/>
        </w:rPr>
        <w:t>Výchozí podklady a údaje</w:t>
      </w:r>
    </w:p>
    <w:p w14:paraId="458B80D6" w14:textId="77777777"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14:paraId="13DA667D" w14:textId="59EE854B"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B501D0" w:rsidRPr="00B501D0">
        <w:rPr>
          <w:rFonts w:ascii="Arial" w:hAnsi="Arial" w:cs="Arial"/>
          <w:b/>
          <w:sz w:val="19"/>
          <w:szCs w:val="19"/>
        </w:rPr>
        <w:t>Rekonstrukce výpravní budovy v žst. Plzeň hl. n.</w:t>
      </w:r>
      <w:r w:rsidR="004F7FE3" w:rsidRPr="00F778C2">
        <w:rPr>
          <w:rFonts w:ascii="Arial" w:hAnsi="Arial" w:cs="Arial"/>
          <w:b/>
          <w:sz w:val="19"/>
          <w:szCs w:val="19"/>
        </w:rPr>
        <w:t>“</w:t>
      </w:r>
      <w:r w:rsidR="00B0516B" w:rsidRPr="00F778C2">
        <w:rPr>
          <w:rFonts w:ascii="Arial" w:hAnsi="Arial" w:cs="Arial"/>
          <w:b/>
          <w:sz w:val="19"/>
          <w:szCs w:val="19"/>
        </w:rPr>
        <w:t xml:space="preserve"> </w:t>
      </w:r>
      <w:r w:rsidRPr="00F778C2">
        <w:rPr>
          <w:rFonts w:ascii="Arial" w:hAnsi="Arial" w:cs="Arial"/>
          <w:sz w:val="19"/>
          <w:szCs w:val="19"/>
        </w:rPr>
        <w:t>č.j.:</w:t>
      </w:r>
      <w:r w:rsidR="00B501D0">
        <w:rPr>
          <w:rFonts w:ascii="Arial" w:hAnsi="Arial" w:cs="Arial"/>
          <w:sz w:val="19"/>
          <w:szCs w:val="19"/>
        </w:rPr>
        <w:t xml:space="preserve"> 7889</w:t>
      </w:r>
      <w:r w:rsidR="00BE67AF" w:rsidRPr="00F778C2">
        <w:rPr>
          <w:rFonts w:ascii="Arial" w:hAnsi="Arial" w:cs="Arial"/>
          <w:sz w:val="19"/>
          <w:szCs w:val="19"/>
        </w:rPr>
        <w:t>/20</w:t>
      </w:r>
      <w:r w:rsidR="00397C84" w:rsidRPr="00F778C2">
        <w:rPr>
          <w:rFonts w:ascii="Arial" w:hAnsi="Arial" w:cs="Arial"/>
          <w:sz w:val="19"/>
          <w:szCs w:val="19"/>
        </w:rPr>
        <w:t>2</w:t>
      </w:r>
      <w:r w:rsidR="00B501D0">
        <w:rPr>
          <w:rFonts w:ascii="Arial" w:hAnsi="Arial" w:cs="Arial"/>
          <w:sz w:val="19"/>
          <w:szCs w:val="19"/>
        </w:rPr>
        <w:t>1</w:t>
      </w:r>
      <w:r w:rsidR="006045A1">
        <w:rPr>
          <w:rFonts w:ascii="Arial" w:hAnsi="Arial" w:cs="Arial"/>
          <w:sz w:val="19"/>
          <w:szCs w:val="19"/>
        </w:rPr>
        <w:t>-SŽ</w:t>
      </w:r>
      <w:r w:rsidR="00BE67AF" w:rsidRPr="00F778C2">
        <w:rPr>
          <w:rFonts w:ascii="Arial" w:hAnsi="Arial" w:cs="Arial"/>
          <w:sz w:val="19"/>
          <w:szCs w:val="19"/>
        </w:rPr>
        <w:t xml:space="preserve">-SSZ-OVZ </w:t>
      </w:r>
      <w:r w:rsidRPr="00F778C2">
        <w:rPr>
          <w:rFonts w:ascii="Arial" w:hAnsi="Arial" w:cs="Arial"/>
          <w:sz w:val="19"/>
          <w:szCs w:val="19"/>
        </w:rPr>
        <w:t xml:space="preserve">ze dne </w:t>
      </w:r>
      <w:r w:rsidR="00156937">
        <w:rPr>
          <w:rFonts w:ascii="Arial" w:hAnsi="Arial" w:cs="Arial"/>
          <w:sz w:val="19"/>
          <w:szCs w:val="19"/>
        </w:rPr>
        <w:t>25</w:t>
      </w:r>
      <w:r w:rsidR="00B501D0">
        <w:rPr>
          <w:rFonts w:ascii="Arial" w:hAnsi="Arial" w:cs="Arial"/>
          <w:sz w:val="19"/>
          <w:szCs w:val="19"/>
        </w:rPr>
        <w:t xml:space="preserve">. 03. </w:t>
      </w:r>
      <w:r w:rsidR="00397C84" w:rsidRPr="00F778C2">
        <w:rPr>
          <w:rFonts w:ascii="Arial" w:hAnsi="Arial" w:cs="Arial"/>
          <w:sz w:val="19"/>
          <w:szCs w:val="19"/>
        </w:rPr>
        <w:t>2</w:t>
      </w:r>
      <w:r w:rsidR="00B501D0">
        <w:rPr>
          <w:rFonts w:ascii="Arial" w:hAnsi="Arial" w:cs="Arial"/>
          <w:sz w:val="19"/>
          <w:szCs w:val="19"/>
        </w:rPr>
        <w:t>021</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14:paraId="3C9A8D98"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14:paraId="1036E54D" w14:textId="77777777"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14:paraId="25076FB9" w14:textId="0BF2EA56"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00C140E3">
        <w:rPr>
          <w:rFonts w:ascii="Arial" w:hAnsi="Arial" w:cs="Arial"/>
          <w:sz w:val="19"/>
          <w:szCs w:val="19"/>
        </w:rPr>
        <w:t>1 – 4</w:t>
      </w:r>
      <w:r w:rsidRPr="00F778C2">
        <w:rPr>
          <w:rFonts w:ascii="Arial" w:hAnsi="Arial" w:cs="Arial"/>
          <w:sz w:val="19"/>
          <w:szCs w:val="19"/>
        </w:rPr>
        <w:t xml:space="preserve"> Výzvy</w:t>
      </w:r>
    </w:p>
    <w:p w14:paraId="2955E141" w14:textId="77777777"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14:paraId="5EAF344E" w14:textId="77777777"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14:paraId="02768F4C" w14:textId="77777777"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14:paraId="19640CDC"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14:paraId="2E4E1AE2"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14:paraId="056A1B1C"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č.j.: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14:paraId="529EADD4" w14:textId="77777777"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14:paraId="2C7F81BF" w14:textId="77777777"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14:paraId="32A14D29" w14:textId="312E5A9D"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B43C2C" w:rsidRPr="00B43C2C">
        <w:rPr>
          <w:rFonts w:ascii="Arial" w:hAnsi="Arial" w:cs="Arial"/>
          <w:b/>
          <w:sz w:val="19"/>
          <w:szCs w:val="19"/>
        </w:rPr>
        <w:t>Rekonstrukce výpravní budovy v žst. Plzeň hl. n.</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71464C" w:rsidRPr="0071464C">
        <w:rPr>
          <w:rFonts w:ascii="Arial" w:hAnsi="Arial" w:cs="Arial"/>
          <w:sz w:val="19"/>
          <w:szCs w:val="19"/>
        </w:rPr>
        <w:t>.</w:t>
      </w:r>
    </w:p>
    <w:p w14:paraId="7119F063" w14:textId="77777777"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14:paraId="0B2805A5" w14:textId="77777777"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14:paraId="196D5233" w14:textId="3082A7CE"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 xml:space="preserve">spolupráce s oddělením externího financování GŘ </w:t>
      </w:r>
      <w:r w:rsidR="006045A1" w:rsidRPr="00805C88">
        <w:rPr>
          <w:rFonts w:ascii="Arial" w:eastAsia="Calibri" w:hAnsi="Arial" w:cs="Arial"/>
          <w:sz w:val="19"/>
          <w:szCs w:val="19"/>
          <w:lang w:eastAsia="en-US"/>
        </w:rPr>
        <w:t xml:space="preserve">SŽ, resp. </w:t>
      </w:r>
      <w:r w:rsidR="00805C88" w:rsidRPr="00805C88">
        <w:rPr>
          <w:rFonts w:ascii="Arial" w:eastAsia="Calibri" w:hAnsi="Arial" w:cs="Arial"/>
          <w:sz w:val="19"/>
          <w:szCs w:val="19"/>
          <w:lang w:eastAsia="en-US"/>
        </w:rPr>
        <w:t xml:space="preserve"> MŽP/ SFŽP</w:t>
      </w:r>
    </w:p>
    <w:p w14:paraId="11F73E67" w14:textId="5AFA8D40"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xml:space="preserve"> projektové žádosti </w:t>
      </w:r>
      <w:r w:rsidR="00805C88" w:rsidRPr="00F778C2">
        <w:rPr>
          <w:rFonts w:ascii="Arial" w:eastAsia="Calibri" w:hAnsi="Arial" w:cs="Arial"/>
          <w:b/>
          <w:sz w:val="19"/>
          <w:szCs w:val="19"/>
          <w:lang w:eastAsia="en-US"/>
        </w:rPr>
        <w:t>OP</w:t>
      </w:r>
      <w:r w:rsidR="00805C88">
        <w:rPr>
          <w:rFonts w:ascii="Arial" w:eastAsia="Calibri" w:hAnsi="Arial" w:cs="Arial"/>
          <w:b/>
          <w:sz w:val="19"/>
          <w:szCs w:val="19"/>
          <w:lang w:eastAsia="en-US"/>
        </w:rPr>
        <w:t>ŽP</w:t>
      </w:r>
    </w:p>
    <w:p w14:paraId="5521C105" w14:textId="6E97299B"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w:t>
      </w:r>
      <w:r w:rsidR="0055405E">
        <w:rPr>
          <w:rFonts w:ascii="Arial" w:eastAsia="Calibri" w:hAnsi="Arial" w:cs="Arial"/>
          <w:sz w:val="19"/>
          <w:szCs w:val="19"/>
          <w:lang w:eastAsia="en-US"/>
        </w:rPr>
        <w:t>, které byly použit</w:t>
      </w:r>
      <w:r w:rsidR="00FA7FFD">
        <w:rPr>
          <w:rFonts w:ascii="Arial" w:eastAsia="Calibri" w:hAnsi="Arial" w:cs="Arial"/>
          <w:sz w:val="19"/>
          <w:szCs w:val="19"/>
          <w:lang w:eastAsia="en-US"/>
        </w:rPr>
        <w:t>y</w:t>
      </w:r>
      <w:r w:rsidR="00737252" w:rsidRPr="00F778C2">
        <w:rPr>
          <w:rFonts w:ascii="Arial" w:eastAsia="Calibri" w:hAnsi="Arial" w:cs="Arial"/>
          <w:sz w:val="19"/>
          <w:szCs w:val="19"/>
          <w:lang w:eastAsia="en-US"/>
        </w:rPr>
        <w:t xml:space="preserve"> pro žádost OP</w:t>
      </w:r>
      <w:r w:rsidR="00805C88">
        <w:rPr>
          <w:rFonts w:ascii="Arial" w:eastAsia="Calibri" w:hAnsi="Arial" w:cs="Arial"/>
          <w:sz w:val="19"/>
          <w:szCs w:val="19"/>
          <w:lang w:eastAsia="en-US"/>
        </w:rPr>
        <w:t>ŽP,</w:t>
      </w:r>
      <w:r w:rsidR="00737252" w:rsidRPr="00F778C2">
        <w:rPr>
          <w:rFonts w:ascii="Arial" w:eastAsia="Calibri" w:hAnsi="Arial" w:cs="Arial"/>
          <w:sz w:val="19"/>
          <w:szCs w:val="19"/>
          <w:lang w:eastAsia="en-US"/>
        </w:rPr>
        <w:t xml:space="preserve">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14:paraId="0AF6C139" w14:textId="7F6C43DB"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653B2D" w:rsidRPr="00F778C2">
        <w:rPr>
          <w:rFonts w:ascii="Arial" w:eastAsia="Calibri" w:hAnsi="Arial" w:cs="Arial"/>
          <w:sz w:val="19"/>
          <w:szCs w:val="19"/>
          <w:lang w:eastAsia="en-US"/>
        </w:rPr>
        <w:t>)</w:t>
      </w:r>
    </w:p>
    <w:p w14:paraId="375F6A78" w14:textId="77777777"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14:paraId="6284515D"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14:paraId="0932397A" w14:textId="77777777"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14:paraId="66D3A4E1" w14:textId="77777777"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14:paraId="6746634E" w14:textId="11BA90F7" w:rsidR="00F115C4" w:rsidRDefault="00F115C4" w:rsidP="00F115C4">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14:paraId="3D580B1A" w14:textId="77777777" w:rsidR="00F115C4" w:rsidRPr="00F778C2" w:rsidRDefault="00F115C4" w:rsidP="00F115C4">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14:paraId="4209346E"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14:paraId="762D3F57" w14:textId="77777777"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14:paraId="40E3F593"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14:paraId="0450E3BE"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14:paraId="2E3DB39C"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14:paraId="10203B5F" w14:textId="2A0C1CAA"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r w:rsidR="00D03CA2">
        <w:rPr>
          <w:rFonts w:ascii="Arial" w:eastAsia="Calibri" w:hAnsi="Arial" w:cs="Arial"/>
          <w:sz w:val="19"/>
          <w:szCs w:val="19"/>
          <w:lang w:eastAsia="en-US"/>
        </w:rPr>
        <w:t xml:space="preserve">. </w:t>
      </w:r>
      <w:r w:rsidR="00D03CA2" w:rsidRPr="00D03CA2">
        <w:rPr>
          <w:rFonts w:ascii="Arial" w:eastAsia="Calibri" w:hAnsi="Arial" w:cs="Arial"/>
          <w:sz w:val="19"/>
          <w:szCs w:val="19"/>
          <w:lang w:eastAsia="en-US"/>
        </w:rPr>
        <w:t>Faktury, které budou předkládány na SFŽP</w:t>
      </w:r>
      <w:r w:rsidR="0071464C">
        <w:rPr>
          <w:rFonts w:ascii="Arial" w:eastAsia="Calibri" w:hAnsi="Arial" w:cs="Arial"/>
          <w:sz w:val="19"/>
          <w:szCs w:val="19"/>
          <w:lang w:eastAsia="en-US"/>
        </w:rPr>
        <w:t xml:space="preserve"> (s uznatelnými náklady)</w:t>
      </w:r>
      <w:r w:rsidR="00D03CA2" w:rsidRPr="00D03CA2">
        <w:rPr>
          <w:rFonts w:ascii="Arial" w:eastAsia="Calibri" w:hAnsi="Arial" w:cs="Arial"/>
          <w:sz w:val="19"/>
          <w:szCs w:val="19"/>
          <w:lang w:eastAsia="en-US"/>
        </w:rPr>
        <w:t>, musí být opatřeny originálním podpisem a razítkem</w:t>
      </w:r>
      <w:r w:rsidR="0071464C">
        <w:rPr>
          <w:rFonts w:ascii="Arial" w:eastAsia="Calibri" w:hAnsi="Arial" w:cs="Arial"/>
          <w:sz w:val="19"/>
          <w:szCs w:val="19"/>
          <w:lang w:eastAsia="en-US"/>
        </w:rPr>
        <w:t xml:space="preserve"> TDS</w:t>
      </w:r>
      <w:r w:rsidR="00D03CA2">
        <w:rPr>
          <w:rFonts w:ascii="Arial" w:eastAsia="Calibri" w:hAnsi="Arial" w:cs="Arial"/>
          <w:sz w:val="19"/>
          <w:szCs w:val="19"/>
          <w:lang w:eastAsia="en-US"/>
        </w:rPr>
        <w:t>,</w:t>
      </w:r>
    </w:p>
    <w:p w14:paraId="3F925ADE" w14:textId="37522AF0" w:rsidR="00CE538F" w:rsidRPr="00EA4309"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EA4309">
        <w:rPr>
          <w:rFonts w:ascii="Arial" w:eastAsia="Calibri" w:hAnsi="Arial" w:cs="Arial"/>
          <w:sz w:val="19"/>
          <w:szCs w:val="19"/>
          <w:lang w:eastAsia="en-US"/>
        </w:rPr>
        <w:t xml:space="preserve">pravidelný </w:t>
      </w:r>
      <w:r w:rsidR="006F5B3A" w:rsidRPr="00EA4309">
        <w:rPr>
          <w:rFonts w:ascii="Arial" w:eastAsia="Calibri" w:hAnsi="Arial" w:cs="Arial"/>
          <w:sz w:val="19"/>
          <w:szCs w:val="19"/>
          <w:lang w:eastAsia="en-US"/>
        </w:rPr>
        <w:t xml:space="preserve">měsíční </w:t>
      </w:r>
      <w:r w:rsidRPr="00EA4309">
        <w:rPr>
          <w:rFonts w:ascii="Arial" w:eastAsia="Calibri" w:hAnsi="Arial" w:cs="Arial"/>
          <w:sz w:val="19"/>
          <w:szCs w:val="19"/>
          <w:lang w:eastAsia="en-US"/>
        </w:rPr>
        <w:t>reporting o proběhlé fakturaci, včetně doložení výsledků z monitorovacího systému ve formě tabulky po jednotlivých PS a SO</w:t>
      </w:r>
      <w:r w:rsidR="005A1C5D" w:rsidRPr="00EA4309">
        <w:rPr>
          <w:rFonts w:ascii="Arial" w:eastAsia="Calibri" w:hAnsi="Arial" w:cs="Arial"/>
          <w:sz w:val="19"/>
          <w:szCs w:val="19"/>
          <w:lang w:eastAsia="en-US"/>
        </w:rPr>
        <w:t xml:space="preserve">, respektive </w:t>
      </w:r>
      <w:r w:rsidR="00EA4309" w:rsidRPr="00EA4309">
        <w:rPr>
          <w:rFonts w:ascii="Arial" w:eastAsia="Calibri" w:hAnsi="Arial" w:cs="Arial"/>
          <w:sz w:val="19"/>
          <w:szCs w:val="19"/>
          <w:lang w:eastAsia="en-US"/>
        </w:rPr>
        <w:t xml:space="preserve">rozdělení čerpání </w:t>
      </w:r>
      <w:r w:rsidR="005A1C5D" w:rsidRPr="00EA4309">
        <w:rPr>
          <w:rFonts w:ascii="Arial" w:eastAsia="Calibri" w:hAnsi="Arial" w:cs="Arial"/>
          <w:sz w:val="19"/>
          <w:szCs w:val="19"/>
          <w:lang w:eastAsia="en-US"/>
        </w:rPr>
        <w:t>polož</w:t>
      </w:r>
      <w:r w:rsidR="00EA4309" w:rsidRPr="00EA4309">
        <w:rPr>
          <w:rFonts w:ascii="Arial" w:eastAsia="Calibri" w:hAnsi="Arial" w:cs="Arial"/>
          <w:sz w:val="19"/>
          <w:szCs w:val="19"/>
          <w:lang w:eastAsia="en-US"/>
        </w:rPr>
        <w:t>ek</w:t>
      </w:r>
      <w:r w:rsidR="005A1C5D" w:rsidRPr="00EA4309">
        <w:rPr>
          <w:rFonts w:ascii="Arial" w:eastAsia="Calibri" w:hAnsi="Arial" w:cs="Arial"/>
          <w:sz w:val="19"/>
          <w:szCs w:val="19"/>
          <w:lang w:eastAsia="en-US"/>
        </w:rPr>
        <w:t xml:space="preserve"> dle způsobilosti tak, jak bylo použito v žádosti o dotaci</w:t>
      </w:r>
      <w:r w:rsidRPr="00EA4309">
        <w:rPr>
          <w:rFonts w:ascii="Arial" w:eastAsia="Calibri" w:hAnsi="Arial" w:cs="Arial"/>
          <w:sz w:val="19"/>
          <w:szCs w:val="19"/>
          <w:lang w:eastAsia="en-US"/>
        </w:rPr>
        <w:t xml:space="preserve"> ve formě Velkého položkového rozpočtu</w:t>
      </w:r>
      <w:r w:rsidR="00EA4309" w:rsidRPr="00EA4309">
        <w:rPr>
          <w:rFonts w:ascii="Arial" w:eastAsia="Calibri" w:hAnsi="Arial" w:cs="Arial"/>
          <w:sz w:val="19"/>
          <w:szCs w:val="19"/>
          <w:lang w:eastAsia="en-US"/>
        </w:rPr>
        <w:t>.</w:t>
      </w:r>
    </w:p>
    <w:p w14:paraId="6CB4C8B1"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14:paraId="6E842A88"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14:paraId="5F60838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14:paraId="14A320C6" w14:textId="77777777"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14:paraId="512D0506"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14:paraId="4726A0C1"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14:paraId="2FF1E355"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6DAAF7D6" w14:textId="77777777"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F778C2">
        <w:rPr>
          <w:rFonts w:ascii="Arial" w:eastAsia="Calibri" w:hAnsi="Arial" w:cs="Arial"/>
          <w:sz w:val="19"/>
          <w:szCs w:val="19"/>
          <w:lang w:eastAsia="en-US"/>
        </w:rPr>
        <w:t>,</w:t>
      </w:r>
    </w:p>
    <w:p w14:paraId="52F2C347"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14:paraId="463A626B" w14:textId="77777777"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14:paraId="48DE84B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14:paraId="1B96B5F4" w14:textId="77777777"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14:paraId="7FCF1812"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14:paraId="46DB60DA"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14:paraId="691F5DD7"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14:paraId="735FE85B"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čtvrtletní monitoring o vývoji uznatelných a neuznatelných nákladů v rozsahu kap. 3.2.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14:paraId="4161D070" w14:textId="7031F22B"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vypracování finálních podkladů pro monitoring o vývoji uznatelných a neuznatelných nákladů</w:t>
      </w:r>
      <w:r w:rsidRPr="0071464C">
        <w:rPr>
          <w:rFonts w:ascii="Arial" w:eastAsia="Calibri" w:hAnsi="Arial"/>
          <w:sz w:val="19"/>
          <w:szCs w:val="19"/>
          <w:lang w:eastAsia="en-US"/>
        </w:rPr>
        <w:t>,</w:t>
      </w:r>
      <w:r w:rsidRPr="00F778C2">
        <w:rPr>
          <w:rFonts w:ascii="Arial" w:eastAsia="Calibri" w:hAnsi="Arial"/>
          <w:sz w:val="19"/>
          <w:szCs w:val="19"/>
          <w:lang w:eastAsia="en-US"/>
        </w:rPr>
        <w:t xml:space="preserve"> </w:t>
      </w:r>
      <w:r w:rsidRPr="00F778C2">
        <w:rPr>
          <w:rFonts w:ascii="Arial" w:eastAsia="Calibri" w:hAnsi="Arial" w:cs="Arial"/>
          <w:sz w:val="19"/>
          <w:szCs w:val="19"/>
          <w:lang w:eastAsia="en-US"/>
        </w:rPr>
        <w:t>výsledky zpracuje zhotovitel ve formě tabulky (v listinné a digitální podobě) jako informativní podklad pro objednatele.</w:t>
      </w:r>
    </w:p>
    <w:p w14:paraId="60862962"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14:paraId="15EE867F" w14:textId="77777777"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14:paraId="7AAA6D35" w14:textId="7F5B8010"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r w:rsidR="00EA4309">
        <w:rPr>
          <w:rFonts w:ascii="Arial" w:eastAsia="Calibri" w:hAnsi="Arial" w:cs="Arial"/>
          <w:sz w:val="19"/>
          <w:szCs w:val="19"/>
          <w:lang w:eastAsia="en-US"/>
        </w:rPr>
        <w:t>, rozdělených dle způsobilosti žádosti OPŽP</w:t>
      </w:r>
    </w:p>
    <w:p w14:paraId="772C777F"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14:paraId="7FF13D0B" w14:textId="77777777"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14:paraId="64BFBD37"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14:paraId="2ACAC850"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14:paraId="40737D07" w14:textId="020EA7DD"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62718A">
        <w:rPr>
          <w:rFonts w:ascii="Arial" w:eastAsia="Calibri" w:hAnsi="Arial" w:cs="Arial"/>
          <w:b/>
          <w:sz w:val="19"/>
          <w:szCs w:val="19"/>
          <w:lang w:eastAsia="en-US"/>
        </w:rPr>
        <w:t>SFŽP</w:t>
      </w:r>
      <w:r w:rsidR="00BF18DF" w:rsidRPr="00F778C2">
        <w:rPr>
          <w:rFonts w:ascii="Arial" w:eastAsia="Calibri" w:hAnsi="Arial" w:cs="Arial"/>
          <w:b/>
          <w:sz w:val="19"/>
          <w:szCs w:val="19"/>
          <w:lang w:eastAsia="en-US"/>
        </w:rPr>
        <w:t>)</w:t>
      </w:r>
    </w:p>
    <w:p w14:paraId="299058D3" w14:textId="77777777"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14:paraId="21AC63FB" w14:textId="77777777"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14:paraId="6D84590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14:paraId="0958D211" w14:textId="77777777"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14:paraId="2F7F8C5A" w14:textId="77777777"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14:paraId="4B3818AF" w14:textId="77777777"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14:paraId="4217D00F" w14:textId="77777777"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14:paraId="2695AB2A" w14:textId="77777777"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14:paraId="56D42A52"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14:paraId="2468713E" w14:textId="77777777"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14:paraId="55CD2F1D"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14:paraId="3B955256" w14:textId="77777777" w:rsid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14:paraId="6A848F2C" w14:textId="77777777" w:rsidR="00F83989" w:rsidRPr="00F778C2" w:rsidRDefault="00F83989"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Pr>
          <w:rFonts w:ascii="Arial" w:eastAsia="Calibri" w:hAnsi="Arial" w:cs="Arial"/>
          <w:sz w:val="19"/>
          <w:szCs w:val="19"/>
          <w:lang w:eastAsia="en-US"/>
        </w:rPr>
        <w:t>přehled konečných způsobilých nákladů v členění, jak jsou sledovány v rámci dotace OPŽP</w:t>
      </w:r>
    </w:p>
    <w:p w14:paraId="7A757455" w14:textId="77777777"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lastRenderedPageBreak/>
        <w:t>na vyžádání budou zpracovány podklady pro sestavení souhrnného rozpočtu stavby po realizaci stavby jako podkladu pro následný okruh činností</w:t>
      </w:r>
    </w:p>
    <w:p w14:paraId="06FCC98F" w14:textId="77777777"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14:paraId="2ACD1CFC" w14:textId="77777777"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19DDC591" w14:textId="77777777"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14:paraId="6BF1133B" w14:textId="77777777" w:rsidR="00863597" w:rsidRPr="00D45655" w:rsidRDefault="00863597" w:rsidP="00104FD0">
      <w:pPr>
        <w:pStyle w:val="Nadpis1"/>
        <w:spacing w:before="360" w:after="120"/>
        <w:jc w:val="center"/>
        <w:rPr>
          <w:sz w:val="24"/>
          <w:u w:val="single"/>
        </w:rPr>
      </w:pPr>
      <w:r w:rsidRPr="00D45655">
        <w:rPr>
          <w:sz w:val="24"/>
          <w:u w:val="single"/>
        </w:rPr>
        <w:t>Čl. 4 -  Termín plnění</w:t>
      </w:r>
    </w:p>
    <w:p w14:paraId="1A7BAA2F" w14:textId="77777777"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14:paraId="153C8858" w14:textId="77777777"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14:paraId="4E476572" w14:textId="10FA3DD0"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00A1238C" w:rsidRPr="00A1238C">
        <w:rPr>
          <w:rFonts w:ascii="Arial" w:hAnsi="Arial"/>
          <w:b/>
          <w:sz w:val="19"/>
          <w:szCs w:val="19"/>
        </w:rPr>
        <w:t>do dvou měsíců po ukončení základní SOD na realizaci stavby Díla jako celku</w:t>
      </w:r>
      <w:r w:rsidRPr="00F778C2">
        <w:rPr>
          <w:rFonts w:ascii="Arial" w:hAnsi="Arial"/>
          <w:b/>
          <w:sz w:val="19"/>
          <w:szCs w:val="19"/>
        </w:rPr>
        <w:t xml:space="preserve"> (předpoklad </w:t>
      </w:r>
      <w:r w:rsidR="007E2400">
        <w:rPr>
          <w:rFonts w:ascii="Arial" w:hAnsi="Arial"/>
          <w:b/>
          <w:sz w:val="19"/>
          <w:szCs w:val="19"/>
        </w:rPr>
        <w:t>12</w:t>
      </w:r>
      <w:r w:rsidRPr="00F778C2">
        <w:rPr>
          <w:rFonts w:ascii="Arial" w:hAnsi="Arial"/>
          <w:b/>
          <w:sz w:val="19"/>
          <w:szCs w:val="19"/>
        </w:rPr>
        <w:t>/20</w:t>
      </w:r>
      <w:r w:rsidR="00397C84" w:rsidRPr="00F778C2">
        <w:rPr>
          <w:rFonts w:ascii="Arial" w:hAnsi="Arial"/>
          <w:b/>
          <w:sz w:val="19"/>
          <w:szCs w:val="19"/>
        </w:rPr>
        <w:t>2</w:t>
      </w:r>
      <w:r w:rsidR="007E2400">
        <w:rPr>
          <w:rFonts w:ascii="Arial" w:hAnsi="Arial"/>
          <w:b/>
          <w:sz w:val="19"/>
          <w:szCs w:val="19"/>
        </w:rPr>
        <w:t>3</w:t>
      </w:r>
      <w:r w:rsidRPr="00F778C2">
        <w:rPr>
          <w:rFonts w:ascii="Arial" w:hAnsi="Arial"/>
          <w:b/>
          <w:sz w:val="19"/>
          <w:szCs w:val="19"/>
        </w:rPr>
        <w:t>)</w:t>
      </w:r>
    </w:p>
    <w:p w14:paraId="240B9936" w14:textId="77777777"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14:paraId="6C017B70" w14:textId="77777777"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14:paraId="0FE97B31" w14:textId="77777777"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14:paraId="0B27B1E3" w14:textId="77777777"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14:paraId="0CE015F4" w14:textId="77777777"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14:paraId="0BB6E5DF" w14:textId="77777777"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14:paraId="029D4048" w14:textId="77777777"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14:paraId="65B7BA55" w14:textId="77777777"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14:paraId="54744737" w14:textId="77777777"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14:paraId="0BDCEEE3" w14:textId="77777777" w:rsidR="00863597" w:rsidRPr="00CF51FF" w:rsidRDefault="00585200" w:rsidP="00EE633B">
      <w:pPr>
        <w:pStyle w:val="Nadpis1"/>
        <w:keepNext w:val="0"/>
        <w:spacing w:before="360"/>
        <w:jc w:val="center"/>
        <w:rPr>
          <w:sz w:val="24"/>
          <w:u w:val="single"/>
        </w:rPr>
      </w:pPr>
      <w:r>
        <w:rPr>
          <w:sz w:val="24"/>
          <w:u w:val="single"/>
        </w:rPr>
        <w:t>Čl. 5 -  Cena</w:t>
      </w:r>
    </w:p>
    <w:p w14:paraId="35C52F24" w14:textId="77777777"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Cena vychází z nabídky zhotovitele a je stanovena dohodou smluvních stran v souladu s cenovými předpisy, zejména podle ust. § 2 zák.č. 526/1990 Sb., zákon o cenách, v platném znění, jako nejvýše přípustná a činí</w:t>
      </w:r>
      <w:r w:rsidR="00863597" w:rsidRPr="00F778C2">
        <w:rPr>
          <w:rFonts w:ascii="Arial" w:hAnsi="Arial"/>
          <w:snapToGrid w:val="0"/>
          <w:sz w:val="19"/>
          <w:szCs w:val="19"/>
        </w:rPr>
        <w:t>:</w:t>
      </w:r>
    </w:p>
    <w:p w14:paraId="68AE4627" w14:textId="77777777"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14:paraId="00C62A5A"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14:paraId="4D536C8D"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14:paraId="14783D5C" w14:textId="77777777"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14:paraId="63D6B315" w14:textId="77777777"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14:paraId="3EA12377" w14:textId="77777777" w:rsidR="00FE1FF1" w:rsidRPr="00F778C2" w:rsidRDefault="00FE1FF1" w:rsidP="0082620F">
      <w:pPr>
        <w:tabs>
          <w:tab w:val="left" w:pos="567"/>
        </w:tabs>
        <w:spacing w:before="240"/>
        <w:ind w:left="567"/>
        <w:rPr>
          <w:rFonts w:ascii="Arial" w:hAnsi="Arial" w:cs="Arial"/>
          <w:vanish/>
          <w:sz w:val="19"/>
          <w:szCs w:val="19"/>
        </w:rPr>
      </w:pPr>
    </w:p>
    <w:p w14:paraId="46DA6937" w14:textId="77777777"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14:paraId="44034CC7" w14:textId="77777777"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14:paraId="4DA55A6A" w14:textId="77777777"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1"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14:paraId="5B8A7277" w14:textId="77777777" w:rsidR="00817616" w:rsidRPr="00CF51FF" w:rsidRDefault="00817616" w:rsidP="006148AA">
      <w:pPr>
        <w:pStyle w:val="Nadpis1"/>
        <w:spacing w:before="240"/>
        <w:jc w:val="center"/>
        <w:rPr>
          <w:sz w:val="24"/>
          <w:u w:val="single"/>
        </w:rPr>
      </w:pPr>
      <w:r w:rsidRPr="00CF51FF">
        <w:rPr>
          <w:sz w:val="24"/>
          <w:u w:val="single"/>
        </w:rPr>
        <w:lastRenderedPageBreak/>
        <w:t>Čl. 6 - Platební podmínky</w:t>
      </w:r>
    </w:p>
    <w:p w14:paraId="695636E4" w14:textId="77777777"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14:paraId="2B84A5BE"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14:paraId="1AD7267E"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14:paraId="4AEC79A7"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14:paraId="6D03D940"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14:paraId="47B2676F"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2236D87B"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14:paraId="2D1BA147"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14:paraId="1806FC48"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14:paraId="5F0927AD" w14:textId="77777777"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14:paraId="7D4409A9"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14:paraId="3633953A"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14:paraId="73F09D38"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14:paraId="70CC74A9" w14:textId="77777777"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14:paraId="6EA47965" w14:textId="77777777"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36D1F73A"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30063653" w14:textId="77777777"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14:paraId="795EE837" w14:textId="77777777"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48FF6C8F" w14:textId="77777777"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lastRenderedPageBreak/>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09F4770E" w14:textId="77777777"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0288040B" w14:textId="77777777"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14:paraId="370FD710" w14:textId="77777777"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14:paraId="75BA5C13"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závěrečné zprávy v termínu dle čl. 4 odst. 4.2. 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14:paraId="096B3EE4"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14:paraId="72585936" w14:textId="77777777"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14:paraId="42636926" w14:textId="77777777"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7AC5AC72"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14:paraId="0C7582DC" w14:textId="77777777"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14:paraId="1329E5B3"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14:paraId="495DCB35"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14:paraId="2E499F86"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14:paraId="5979A767"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14:paraId="2B17FE73"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14:paraId="5289480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779E4FD2" w14:textId="77777777"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14:paraId="0F692C78"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14:paraId="50DBB0C3"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14:paraId="17191963"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14:paraId="38EF97B3" w14:textId="5D7CF47C" w:rsidR="00F9104C" w:rsidRPr="00F115C4"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1DBC29AB" w14:textId="77777777" w:rsidR="00F115C4" w:rsidRPr="00F778C2" w:rsidRDefault="00F115C4" w:rsidP="00F115C4">
      <w:pPr>
        <w:widowControl w:val="0"/>
        <w:suppressLineNumbers/>
        <w:spacing w:before="60"/>
        <w:ind w:left="1134" w:right="-1"/>
        <w:jc w:val="both"/>
        <w:rPr>
          <w:rFonts w:ascii="Arial" w:hAnsi="Arial" w:cs="Arial"/>
          <w:b/>
          <w:bCs/>
          <w:sz w:val="19"/>
          <w:szCs w:val="19"/>
        </w:rPr>
      </w:pPr>
    </w:p>
    <w:p w14:paraId="5A9B725C"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lastRenderedPageBreak/>
        <w:t>v případě, že zhotovitel neoprávněně přeruší práce na prováděných činnostech na dobu delší než 10 dnů.</w:t>
      </w:r>
    </w:p>
    <w:p w14:paraId="187F2671" w14:textId="77777777"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60F2698E"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14:paraId="4EC868BE"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79671A09" w14:textId="73027FF8" w:rsidR="00F9104C" w:rsidRDefault="00F9104C" w:rsidP="00AF2FD2">
      <w:pPr>
        <w:numPr>
          <w:ilvl w:val="0"/>
          <w:numId w:val="12"/>
        </w:numPr>
        <w:spacing w:before="120" w:after="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1F723840" w14:textId="77777777" w:rsidR="00AF2FD2" w:rsidRPr="00206399" w:rsidRDefault="00AF2FD2" w:rsidP="00AF2FD2">
      <w:pPr>
        <w:pStyle w:val="Text1-1"/>
        <w:numPr>
          <w:ilvl w:val="1"/>
          <w:numId w:val="39"/>
        </w:numPr>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14:paraId="7BE4B647" w14:textId="77777777" w:rsidR="00AF2FD2" w:rsidRPr="00206399" w:rsidRDefault="00AF2FD2" w:rsidP="00AF2FD2">
      <w:pPr>
        <w:pStyle w:val="Text1-1"/>
        <w:numPr>
          <w:ilvl w:val="2"/>
          <w:numId w:val="40"/>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14:paraId="1031C97E" w14:textId="77777777" w:rsidR="00AF2FD2" w:rsidRPr="00206399" w:rsidRDefault="00AF2FD2" w:rsidP="00AF2FD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610B9873" w14:textId="77777777" w:rsidR="00AF2FD2" w:rsidRPr="00206399" w:rsidRDefault="00AF2FD2" w:rsidP="00AF2FD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elektronicky, např. MS Teams, Google meet, atp.</w:t>
      </w:r>
      <w:r w:rsidRPr="00206399">
        <w:rPr>
          <w:rFonts w:ascii="Arial" w:eastAsia="Times New Roman" w:hAnsi="Arial" w:cs="Arial"/>
          <w:sz w:val="20"/>
          <w:szCs w:val="20"/>
        </w:rPr>
        <w:t>), pokud nebude nutné, aby byly spojeny s místním šetřením.</w:t>
      </w:r>
    </w:p>
    <w:p w14:paraId="14E45E07" w14:textId="77777777" w:rsidR="00AF2FD2" w:rsidRPr="00206399" w:rsidRDefault="00AF2FD2" w:rsidP="00AF2FD2">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14:paraId="17F7FBC0" w14:textId="77777777" w:rsidR="00AF2FD2" w:rsidRPr="00206399" w:rsidRDefault="00AF2FD2" w:rsidP="00AF2FD2">
      <w:pPr>
        <w:spacing w:after="120"/>
        <w:ind w:left="1276" w:hanging="709"/>
        <w:jc w:val="both"/>
        <w:rPr>
          <w:rFonts w:ascii="Arial" w:hAnsi="Arial" w:cs="Arial"/>
          <w:sz w:val="20"/>
          <w:szCs w:val="20"/>
        </w:rPr>
      </w:pPr>
      <w:r w:rsidRPr="00206399">
        <w:rPr>
          <w:rFonts w:ascii="Arial" w:hAnsi="Arial" w:cs="Arial"/>
          <w:b/>
          <w:sz w:val="20"/>
          <w:szCs w:val="20"/>
        </w:rPr>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14:paraId="035EC362"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657A40AB" w14:textId="77777777" w:rsidR="00F9104C" w:rsidRPr="00F778C2" w:rsidRDefault="00F9104C" w:rsidP="00975105">
      <w:pPr>
        <w:spacing w:before="240"/>
        <w:ind w:left="567" w:right="-2" w:hanging="567"/>
        <w:jc w:val="both"/>
        <w:rPr>
          <w:rFonts w:ascii="Arial" w:hAnsi="Arial" w:cs="Arial"/>
          <w:sz w:val="19"/>
          <w:szCs w:val="19"/>
        </w:rPr>
      </w:pPr>
      <w:r w:rsidRPr="00F778C2">
        <w:rPr>
          <w:rFonts w:ascii="Arial" w:hAnsi="Arial" w:cs="Arial"/>
          <w:b/>
          <w:sz w:val="19"/>
          <w:szCs w:val="19"/>
        </w:rPr>
        <w:t>10.1.</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w:t>
      </w:r>
      <w:r w:rsidR="00D03CA2">
        <w:rPr>
          <w:rFonts w:ascii="Arial" w:hAnsi="Arial" w:cs="Arial"/>
          <w:sz w:val="19"/>
          <w:szCs w:val="19"/>
        </w:rPr>
        <w:t>, MŽP, SFŽP,</w:t>
      </w:r>
      <w:r w:rsidRPr="00F778C2">
        <w:rPr>
          <w:rFonts w:ascii="Arial" w:hAnsi="Arial" w:cs="Arial"/>
          <w:sz w:val="19"/>
          <w:szCs w:val="19"/>
        </w:rPr>
        <w:t xml:space="preserve">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E0FD78F" w14:textId="77777777" w:rsidR="00F9104C" w:rsidRPr="00F778C2" w:rsidRDefault="00F9104C" w:rsidP="00F9104C">
      <w:pPr>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10.2.</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7EE2FDD1" w14:textId="77777777" w:rsidR="00AF2FD2" w:rsidRDefault="00AF2FD2" w:rsidP="00F9104C">
      <w:pPr>
        <w:pStyle w:val="Odstavecseseznamem"/>
        <w:tabs>
          <w:tab w:val="left" w:pos="9214"/>
        </w:tabs>
        <w:spacing w:before="120"/>
        <w:ind w:left="567" w:right="-2" w:hanging="567"/>
        <w:jc w:val="both"/>
        <w:rPr>
          <w:rFonts w:ascii="Arial" w:hAnsi="Arial" w:cs="Arial"/>
          <w:b/>
          <w:sz w:val="19"/>
          <w:szCs w:val="19"/>
        </w:rPr>
      </w:pPr>
    </w:p>
    <w:p w14:paraId="28B25FB8" w14:textId="77777777" w:rsidR="00AF2FD2" w:rsidRDefault="00AF2FD2" w:rsidP="00F9104C">
      <w:pPr>
        <w:pStyle w:val="Odstavecseseznamem"/>
        <w:tabs>
          <w:tab w:val="left" w:pos="9214"/>
        </w:tabs>
        <w:spacing w:before="120"/>
        <w:ind w:left="567" w:right="-2" w:hanging="567"/>
        <w:jc w:val="both"/>
        <w:rPr>
          <w:rFonts w:ascii="Arial" w:hAnsi="Arial" w:cs="Arial"/>
          <w:b/>
          <w:sz w:val="19"/>
          <w:szCs w:val="19"/>
        </w:rPr>
      </w:pPr>
    </w:p>
    <w:p w14:paraId="675914F2" w14:textId="77777777" w:rsidR="00AF2FD2" w:rsidRDefault="00AF2FD2" w:rsidP="00F9104C">
      <w:pPr>
        <w:pStyle w:val="Odstavecseseznamem"/>
        <w:tabs>
          <w:tab w:val="left" w:pos="9214"/>
        </w:tabs>
        <w:spacing w:before="120"/>
        <w:ind w:left="567" w:right="-2" w:hanging="567"/>
        <w:jc w:val="both"/>
        <w:rPr>
          <w:rFonts w:ascii="Arial" w:hAnsi="Arial" w:cs="Arial"/>
          <w:b/>
          <w:sz w:val="19"/>
          <w:szCs w:val="19"/>
        </w:rPr>
      </w:pPr>
    </w:p>
    <w:p w14:paraId="60CD50F4" w14:textId="1132DD1B"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lastRenderedPageBreak/>
        <w:t>10.3.</w:t>
      </w:r>
      <w:r w:rsidRPr="00F778C2">
        <w:rPr>
          <w:rFonts w:ascii="Arial" w:hAnsi="Arial" w:cs="Arial"/>
          <w:sz w:val="19"/>
          <w:szCs w:val="19"/>
        </w:rPr>
        <w:tab/>
      </w:r>
      <w:r w:rsidR="000A2EF1" w:rsidRPr="00F778C2">
        <w:rPr>
          <w:rFonts w:ascii="Arial" w:hAnsi="Arial" w:cs="Arial"/>
          <w:sz w:val="19"/>
          <w:szCs w:val="19"/>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FA78FD6" w14:textId="77777777" w:rsidR="00177568" w:rsidRPr="00F778C2" w:rsidRDefault="00F9104C" w:rsidP="00177568">
      <w:pPr>
        <w:pStyle w:val="Odstavecseseznamem"/>
        <w:spacing w:before="120"/>
        <w:ind w:left="567" w:right="-2" w:hanging="567"/>
        <w:jc w:val="both"/>
        <w:rPr>
          <w:rFonts w:ascii="Arial" w:hAnsi="Arial" w:cs="Arial"/>
          <w:sz w:val="19"/>
          <w:szCs w:val="19"/>
        </w:rPr>
      </w:pPr>
      <w:r w:rsidRPr="00F778C2">
        <w:rPr>
          <w:rFonts w:ascii="Arial" w:hAnsi="Arial" w:cs="Arial"/>
          <w:b/>
          <w:sz w:val="19"/>
          <w:szCs w:val="19"/>
        </w:rPr>
        <w:t>10.4.</w:t>
      </w:r>
      <w:r w:rsidRPr="00F778C2">
        <w:rPr>
          <w:rFonts w:ascii="Arial" w:hAnsi="Arial" w:cs="Arial"/>
          <w:sz w:val="19"/>
          <w:szCs w:val="19"/>
        </w:rPr>
        <w:tab/>
      </w:r>
      <w:r w:rsidR="00177568" w:rsidRPr="00F778C2">
        <w:rPr>
          <w:rFonts w:ascii="Arial" w:hAnsi="Arial" w:cs="Arial"/>
          <w:sz w:val="19"/>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A45CD80" w14:textId="77777777"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02E9694B" w14:textId="77777777" w:rsidR="00F9104C" w:rsidRPr="00F778C2" w:rsidRDefault="00F9104C" w:rsidP="00975105">
      <w:pPr>
        <w:spacing w:before="240" w:after="120"/>
        <w:ind w:left="567" w:hanging="567"/>
        <w:jc w:val="both"/>
        <w:rPr>
          <w:rFonts w:ascii="Arial" w:hAnsi="Arial" w:cs="Arial"/>
          <w:bCs/>
          <w:sz w:val="19"/>
          <w:szCs w:val="19"/>
        </w:rPr>
      </w:pPr>
      <w:r w:rsidRPr="00F778C2">
        <w:rPr>
          <w:rFonts w:ascii="Arial" w:hAnsi="Arial" w:cs="Arial"/>
          <w:b/>
          <w:bCs/>
          <w:sz w:val="19"/>
          <w:szCs w:val="19"/>
        </w:rPr>
        <w:t>11.1.</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14:paraId="4F7901CA"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11.2.</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14:paraId="70468E47"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14:paraId="5DCD4036" w14:textId="77777777"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14:paraId="262552BA" w14:textId="77777777"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14:paraId="00E36DC2" w14:textId="77777777" w:rsidR="00F9104C" w:rsidRPr="00F778C2" w:rsidRDefault="00F9104C" w:rsidP="00F9104C">
      <w:pPr>
        <w:ind w:left="567" w:hanging="567"/>
        <w:jc w:val="both"/>
        <w:rPr>
          <w:rFonts w:ascii="Arial" w:hAnsi="Arial" w:cs="Arial"/>
          <w:sz w:val="19"/>
          <w:szCs w:val="19"/>
        </w:rPr>
      </w:pPr>
    </w:p>
    <w:p w14:paraId="2FF66A31"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14:paraId="1B54B4EB"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1BAD558E"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63B7F0ED"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14:paraId="22A2AF78"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14:paraId="56325806"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14:paraId="6467B851"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11.7.</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7A16E8F8"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11.8.</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14:paraId="5BF4615C" w14:textId="77777777"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4947FC95"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14:paraId="69B1CB20"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lastRenderedPageBreak/>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64CA7326"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45B0618E"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do zpracování zapojit podzhotovitele pouze na základě předchozího písemného souhlasu Objednatele;</w:t>
      </w:r>
    </w:p>
    <w:p w14:paraId="1A9B5BE1"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552091AA"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5D81192C"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3CAF94D6"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36EDA624"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60B8918" w14:textId="77777777" w:rsidR="00F9104C" w:rsidRPr="00F778C2" w:rsidRDefault="00F9104C" w:rsidP="00F9104C">
      <w:pPr>
        <w:ind w:left="567" w:hanging="567"/>
        <w:jc w:val="both"/>
        <w:rPr>
          <w:rFonts w:ascii="Arial" w:hAnsi="Arial" w:cs="Arial"/>
          <w:sz w:val="19"/>
          <w:szCs w:val="19"/>
        </w:rPr>
      </w:pPr>
      <w:r w:rsidRPr="00F778C2">
        <w:rPr>
          <w:rFonts w:ascii="Arial" w:hAnsi="Arial" w:cs="Arial"/>
          <w:b/>
          <w:sz w:val="19"/>
          <w:szCs w:val="19"/>
        </w:rPr>
        <w:t>11.9.</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13974BA4"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2E3D97F7" w14:textId="309E7488"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p>
    <w:p w14:paraId="0BFB99DA" w14:textId="57F784CE"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005825C6" w:rsidRPr="005825C6">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4E49FFBC"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14:paraId="07E4AA57"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12.4.</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6A677351"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12.5.</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14:paraId="1DBFCE9B"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lastRenderedPageBreak/>
        <w:t>12.6.</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14:paraId="6265E487" w14:textId="77777777" w:rsidR="00177568" w:rsidRPr="00177568" w:rsidRDefault="00177568" w:rsidP="00177568">
      <w:pPr>
        <w:tabs>
          <w:tab w:val="left" w:pos="5529"/>
        </w:tabs>
        <w:spacing w:before="120"/>
        <w:ind w:left="567" w:hanging="709"/>
        <w:jc w:val="both"/>
        <w:rPr>
          <w:rFonts w:ascii="Arial" w:hAnsi="Arial" w:cs="Arial"/>
          <w:sz w:val="19"/>
          <w:szCs w:val="19"/>
        </w:rPr>
      </w:pPr>
      <w:r w:rsidRPr="00177568">
        <w:rPr>
          <w:rFonts w:ascii="Arial" w:hAnsi="Arial" w:cs="Arial"/>
          <w:b/>
          <w:sz w:val="19"/>
          <w:szCs w:val="19"/>
        </w:rPr>
        <w:t>12.7.</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FCEF2C"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12.8.</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14:paraId="77706CE8"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12.9.</w:t>
      </w:r>
      <w:r w:rsidRPr="00177568">
        <w:rPr>
          <w:rFonts w:ascii="Arial" w:hAnsi="Arial" w:cs="Arial"/>
          <w:sz w:val="19"/>
          <w:szCs w:val="19"/>
        </w:rPr>
        <w:tab/>
        <w:t>Dle ust. § 630 odst. 1 občanského zákoníku si smluvní strany podpisem této smlouvy sjednávají promlčecí lhůtu v délce trvání 4 let.</w:t>
      </w:r>
    </w:p>
    <w:p w14:paraId="2F0EFF49"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12.10.</w:t>
      </w:r>
      <w:r w:rsidRPr="00177568">
        <w:rPr>
          <w:rFonts w:ascii="Arial" w:hAnsi="Arial" w:cs="Arial"/>
          <w:sz w:val="19"/>
          <w:szCs w:val="19"/>
        </w:rPr>
        <w:tab/>
        <w:t>Ve smyslu ust. § 1765 odst. 2, občanského zákoníku, v platném znění přebírá zhotovitel podpisem této Smlouvy nebezpečí změny okolností.</w:t>
      </w:r>
    </w:p>
    <w:p w14:paraId="6D6468DC" w14:textId="77777777"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5DAC147B" w14:textId="77777777" w:rsidR="00F115C4"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p>
    <w:p w14:paraId="698E84D1" w14:textId="72A3ACC8"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sz w:val="19"/>
          <w:szCs w:val="19"/>
          <w:lang w:eastAsia="en-US"/>
        </w:rPr>
        <w:tab/>
      </w: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1B8A31FA" w14:textId="4243DDAD"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005825C6">
        <w:rPr>
          <w:rFonts w:ascii="Arial" w:eastAsia="Calibri" w:hAnsi="Arial" w:cs="Arial"/>
          <w:b/>
          <w:sz w:val="19"/>
          <w:szCs w:val="19"/>
          <w:lang w:eastAsia="en-US"/>
        </w:rPr>
        <w:tab/>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14:paraId="1FABF473" w14:textId="77777777"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14:paraId="22CDB533" w14:textId="77777777" w:rsidR="00F9104C" w:rsidRPr="00F778C2" w:rsidRDefault="00F9104C" w:rsidP="00F115C4">
      <w:pPr>
        <w:spacing w:before="120" w:after="120"/>
        <w:ind w:left="567" w:right="-2"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235CAEC5" w14:textId="799B0C2B" w:rsidR="00F115C4" w:rsidRPr="00000036" w:rsidRDefault="00F115C4" w:rsidP="00F115C4">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5A97530" w14:textId="6A039D75" w:rsidR="00F115C4" w:rsidRPr="00000036" w:rsidRDefault="00F115C4" w:rsidP="00F115C4">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14:paraId="4BBF4823" w14:textId="77777777" w:rsidR="00AF2FD2" w:rsidRDefault="00AF2FD2" w:rsidP="00F115C4">
      <w:pPr>
        <w:spacing w:before="120"/>
        <w:ind w:left="567" w:right="-2" w:hanging="709"/>
        <w:jc w:val="both"/>
        <w:rPr>
          <w:rFonts w:ascii="Arial" w:hAnsi="Arial" w:cs="Arial"/>
          <w:b/>
          <w:sz w:val="19"/>
          <w:szCs w:val="19"/>
        </w:rPr>
      </w:pPr>
    </w:p>
    <w:p w14:paraId="2A4A1761" w14:textId="77777777" w:rsidR="00AF2FD2" w:rsidRDefault="00AF2FD2" w:rsidP="00F115C4">
      <w:pPr>
        <w:spacing w:before="120"/>
        <w:ind w:left="567" w:right="-2" w:hanging="709"/>
        <w:jc w:val="both"/>
        <w:rPr>
          <w:rFonts w:ascii="Arial" w:hAnsi="Arial" w:cs="Arial"/>
          <w:b/>
          <w:sz w:val="19"/>
          <w:szCs w:val="19"/>
        </w:rPr>
      </w:pPr>
    </w:p>
    <w:p w14:paraId="41018010" w14:textId="2C008063" w:rsidR="00F115C4" w:rsidRPr="00000036" w:rsidRDefault="00F115C4" w:rsidP="00F115C4">
      <w:pPr>
        <w:spacing w:before="120"/>
        <w:ind w:left="567" w:right="-2" w:hanging="709"/>
        <w:jc w:val="both"/>
        <w:rPr>
          <w:rFonts w:ascii="Arial" w:hAnsi="Arial" w:cs="Arial"/>
          <w:sz w:val="19"/>
          <w:szCs w:val="19"/>
        </w:rPr>
      </w:pPr>
      <w:r w:rsidRPr="00000036">
        <w:rPr>
          <w:rFonts w:ascii="Arial" w:hAnsi="Arial" w:cs="Arial"/>
          <w:b/>
          <w:sz w:val="19"/>
          <w:szCs w:val="19"/>
        </w:rPr>
        <w:lastRenderedPageBreak/>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5FD8CFB9" w14:textId="2B558783" w:rsidR="00F9104C" w:rsidRPr="00F778C2" w:rsidRDefault="00F115C4" w:rsidP="00F115C4">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00F9104C" w:rsidRPr="00F778C2">
        <w:rPr>
          <w:rFonts w:ascii="Arial" w:hAnsi="Arial" w:cs="Arial"/>
          <w:sz w:val="19"/>
          <w:szCs w:val="19"/>
        </w:rPr>
        <w:t>Nedílnou součástí této Smlouvy je následující příloha:</w:t>
      </w:r>
    </w:p>
    <w:p w14:paraId="1BA5C7EC" w14:textId="77777777" w:rsidR="00F9104C" w:rsidRPr="00F778C2" w:rsidRDefault="00F9104C" w:rsidP="00F9104C">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14:paraId="41F368CC" w14:textId="77777777" w:rsidR="00F9104C" w:rsidRPr="00F778C2" w:rsidRDefault="00F9104C" w:rsidP="00F9104C">
      <w:pPr>
        <w:ind w:left="851" w:hanging="312"/>
        <w:jc w:val="both"/>
        <w:rPr>
          <w:rFonts w:ascii="Arial" w:hAnsi="Arial" w:cs="Arial"/>
          <w:sz w:val="19"/>
          <w:szCs w:val="19"/>
        </w:rPr>
      </w:pPr>
    </w:p>
    <w:p w14:paraId="32083F90" w14:textId="77777777" w:rsidR="00F9104C" w:rsidRPr="00F778C2" w:rsidRDefault="00F9104C" w:rsidP="00F9104C">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V …………………. dne ……………………</w:t>
      </w:r>
    </w:p>
    <w:p w14:paraId="017B4EE8" w14:textId="77777777" w:rsidR="00F9104C" w:rsidRPr="00F778C2" w:rsidRDefault="00F9104C" w:rsidP="00F9104C">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14:paraId="728EDAB8" w14:textId="77777777" w:rsidR="00F9104C" w:rsidRPr="00F778C2" w:rsidRDefault="00F9104C" w:rsidP="00F9104C">
      <w:pPr>
        <w:ind w:left="5580" w:hanging="5580"/>
        <w:jc w:val="both"/>
        <w:rPr>
          <w:rFonts w:ascii="Arial" w:hAnsi="Arial" w:cs="Arial"/>
          <w:sz w:val="19"/>
          <w:szCs w:val="19"/>
        </w:rPr>
      </w:pPr>
      <w:r w:rsidRPr="00F778C2">
        <w:rPr>
          <w:rFonts w:ascii="Arial" w:hAnsi="Arial" w:cs="Arial"/>
          <w:sz w:val="19"/>
          <w:szCs w:val="19"/>
        </w:rPr>
        <w:t xml:space="preserve">                                                                                                    </w:t>
      </w:r>
    </w:p>
    <w:p w14:paraId="6D69A6C6" w14:textId="77777777"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14:paraId="092FEEE5" w14:textId="77777777"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14:paraId="0EEC8F80" w14:textId="77777777" w:rsidR="00F9104C" w:rsidRPr="00F778C2" w:rsidRDefault="00F9104C" w:rsidP="00F9104C">
      <w:pPr>
        <w:jc w:val="both"/>
        <w:rPr>
          <w:rFonts w:ascii="Arial" w:hAnsi="Arial" w:cs="Arial"/>
          <w:sz w:val="19"/>
          <w:szCs w:val="19"/>
        </w:rPr>
      </w:pPr>
    </w:p>
    <w:p w14:paraId="2449DFD8" w14:textId="77777777"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14:paraId="411D19BD" w14:textId="53D65521" w:rsidR="00F9104C" w:rsidRPr="00F778C2" w:rsidRDefault="00F9104C" w:rsidP="00F9104C">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w:t>
      </w:r>
      <w:r w:rsidR="00F115C4">
        <w:rPr>
          <w:rFonts w:ascii="Arial" w:hAnsi="Arial" w:cs="Arial"/>
          <w:b/>
          <w:sz w:val="19"/>
          <w:szCs w:val="19"/>
        </w:rPr>
        <w:t xml:space="preserve">              </w:t>
      </w:r>
      <w:r w:rsidRPr="00F778C2">
        <w:rPr>
          <w:rFonts w:ascii="Arial" w:hAnsi="Arial" w:cs="Arial"/>
          <w:b/>
          <w:sz w:val="19"/>
          <w:szCs w:val="19"/>
        </w:rPr>
        <w:t xml:space="preserve">Ing. Petr Hofhanzl                                                                      </w:t>
      </w:r>
    </w:p>
    <w:p w14:paraId="14715150" w14:textId="77777777" w:rsidR="00F9104C" w:rsidRPr="00F778C2" w:rsidRDefault="00F9104C" w:rsidP="00F9104C">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14:paraId="426D4214" w14:textId="77777777" w:rsidR="00F115C4" w:rsidRDefault="00F9104C" w:rsidP="00F9104C">
      <w:pPr>
        <w:rPr>
          <w:rFonts w:ascii="Arial" w:hAnsi="Arial" w:cs="Arial"/>
          <w:sz w:val="19"/>
          <w:szCs w:val="19"/>
        </w:rPr>
      </w:pPr>
      <w:r w:rsidRPr="00F778C2">
        <w:rPr>
          <w:rFonts w:ascii="Arial" w:hAnsi="Arial" w:cs="Arial"/>
          <w:sz w:val="19"/>
          <w:szCs w:val="19"/>
        </w:rPr>
        <w:t xml:space="preserve">    Stavební správa západ  </w:t>
      </w:r>
    </w:p>
    <w:p w14:paraId="36D89528" w14:textId="42F3733A" w:rsidR="00F115C4" w:rsidRPr="00F115C4" w:rsidRDefault="008A0B0C" w:rsidP="008A0B0C">
      <w:pPr>
        <w:rPr>
          <w:rFonts w:ascii="Arial" w:hAnsi="Arial" w:cs="Arial"/>
          <w:i/>
          <w:sz w:val="19"/>
          <w:szCs w:val="19"/>
        </w:rPr>
      </w:pPr>
      <w:r>
        <w:rPr>
          <w:rFonts w:ascii="Arial" w:hAnsi="Arial" w:cs="Arial"/>
          <w:i/>
          <w:sz w:val="19"/>
          <w:szCs w:val="19"/>
        </w:rPr>
        <w:t xml:space="preserve">  (podepsáno elektronicky)</w:t>
      </w:r>
    </w:p>
    <w:sectPr w:rsidR="00F115C4" w:rsidRPr="00F115C4"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2ED75" w14:textId="77777777" w:rsidR="00A95DD2" w:rsidRDefault="00A95DD2">
      <w:r>
        <w:separator/>
      </w:r>
    </w:p>
  </w:endnote>
  <w:endnote w:type="continuationSeparator" w:id="0">
    <w:p w14:paraId="7C6A1F82" w14:textId="77777777" w:rsidR="00A95DD2" w:rsidRDefault="00A95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910A1" w14:textId="20470B70"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9419A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9419A9">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AAD9B" w14:textId="77777777" w:rsidR="00095DED" w:rsidRDefault="00935AC5" w:rsidP="000C4A98">
    <w:pPr>
      <w:pStyle w:val="Zpat"/>
      <w:spacing w:before="120"/>
      <w:jc w:val="center"/>
      <w:rPr>
        <w:noProof/>
      </w:rPr>
    </w:pPr>
    <w:r>
      <w:rPr>
        <w:noProof/>
      </w:rPr>
      <w:t xml:space="preserve"> </w:t>
    </w:r>
  </w:p>
  <w:p w14:paraId="0D82CBA8" w14:textId="10A03906"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9419A9">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6DCBB648"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1393C" w14:textId="77777777" w:rsidR="00A95DD2" w:rsidRDefault="00A95DD2">
      <w:r>
        <w:separator/>
      </w:r>
    </w:p>
  </w:footnote>
  <w:footnote w:type="continuationSeparator" w:id="0">
    <w:p w14:paraId="5E651CE6" w14:textId="77777777" w:rsidR="00A95DD2" w:rsidRDefault="00A95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98BC4" w14:textId="7CD50BB5" w:rsidR="004F7FE3" w:rsidRPr="004F2C20" w:rsidRDefault="00683083" w:rsidP="003D06F9">
    <w:pPr>
      <w:pBdr>
        <w:bottom w:val="single" w:sz="6" w:space="1" w:color="auto"/>
      </w:pBdr>
      <w:suppressAutoHyphens/>
      <w:ind w:left="644"/>
      <w:jc w:val="right"/>
      <w:rPr>
        <w:rFonts w:ascii="Arial" w:eastAsia="Calibri" w:hAnsi="Arial" w:cs="Arial"/>
        <w:i/>
        <w:sz w:val="16"/>
        <w:szCs w:val="16"/>
        <w:lang w:eastAsia="en-US"/>
      </w:rPr>
    </w:pPr>
    <w:r w:rsidRPr="00683083">
      <w:rPr>
        <w:rFonts w:ascii="Arial" w:eastAsia="Calibri" w:hAnsi="Arial" w:cs="Arial"/>
        <w:i/>
        <w:sz w:val="16"/>
        <w:szCs w:val="16"/>
        <w:lang w:eastAsia="en-US"/>
      </w:rPr>
      <w:t>Rekonstrukce výpravní budovy v žst. Plzeň hl. n.</w:t>
    </w:r>
  </w:p>
  <w:p w14:paraId="42B3AA41" w14:textId="77777777"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F3C49" w14:textId="77777777"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14:paraId="73989096"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9"/>
  </w:num>
  <w:num w:numId="2">
    <w:abstractNumId w:val="33"/>
  </w:num>
  <w:num w:numId="3">
    <w:abstractNumId w:val="1"/>
  </w:num>
  <w:num w:numId="4">
    <w:abstractNumId w:val="15"/>
  </w:num>
  <w:num w:numId="5">
    <w:abstractNumId w:val="14"/>
  </w:num>
  <w:num w:numId="6">
    <w:abstractNumId w:val="28"/>
  </w:num>
  <w:num w:numId="7">
    <w:abstractNumId w:val="4"/>
  </w:num>
  <w:num w:numId="8">
    <w:abstractNumId w:val="20"/>
  </w:num>
  <w:num w:numId="9">
    <w:abstractNumId w:val="12"/>
  </w:num>
  <w:num w:numId="10">
    <w:abstractNumId w:val="10"/>
  </w:num>
  <w:num w:numId="11">
    <w:abstractNumId w:val="19"/>
  </w:num>
  <w:num w:numId="12">
    <w:abstractNumId w:val="35"/>
  </w:num>
  <w:num w:numId="13">
    <w:abstractNumId w:val="21"/>
  </w:num>
  <w:num w:numId="14">
    <w:abstractNumId w:val="17"/>
  </w:num>
  <w:num w:numId="15">
    <w:abstractNumId w:val="8"/>
  </w:num>
  <w:num w:numId="16">
    <w:abstractNumId w:val="31"/>
  </w:num>
  <w:num w:numId="17">
    <w:abstractNumId w:val="22"/>
  </w:num>
  <w:num w:numId="18">
    <w:abstractNumId w:val="11"/>
  </w:num>
  <w:num w:numId="19">
    <w:abstractNumId w:val="36"/>
  </w:num>
  <w:num w:numId="20">
    <w:abstractNumId w:val="37"/>
  </w:num>
  <w:num w:numId="21">
    <w:abstractNumId w:val="29"/>
  </w:num>
  <w:num w:numId="22">
    <w:abstractNumId w:val="23"/>
  </w:num>
  <w:num w:numId="23">
    <w:abstractNumId w:val="34"/>
  </w:num>
  <w:num w:numId="24">
    <w:abstractNumId w:val="16"/>
  </w:num>
  <w:num w:numId="25">
    <w:abstractNumId w:val="6"/>
  </w:num>
  <w:num w:numId="26">
    <w:abstractNumId w:val="24"/>
  </w:num>
  <w:num w:numId="27">
    <w:abstractNumId w:val="32"/>
  </w:num>
  <w:num w:numId="28">
    <w:abstractNumId w:val="39"/>
  </w:num>
  <w:num w:numId="29">
    <w:abstractNumId w:val="38"/>
  </w:num>
  <w:num w:numId="30">
    <w:abstractNumId w:val="5"/>
  </w:num>
  <w:num w:numId="31">
    <w:abstractNumId w:val="0"/>
  </w:num>
  <w:num w:numId="32">
    <w:abstractNumId w:val="30"/>
  </w:num>
  <w:num w:numId="33">
    <w:abstractNumId w:val="18"/>
  </w:num>
  <w:num w:numId="34">
    <w:abstractNumId w:val="3"/>
  </w:num>
  <w:num w:numId="35">
    <w:abstractNumId w:val="13"/>
  </w:num>
  <w:num w:numId="36">
    <w:abstractNumId w:val="27"/>
  </w:num>
  <w:num w:numId="37">
    <w:abstractNumId w:val="7"/>
  </w:num>
  <w:num w:numId="38">
    <w:abstractNumId w:val="2"/>
  </w:num>
  <w:num w:numId="39">
    <w:abstractNumId w:val="26"/>
  </w:num>
  <w:num w:numId="4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21DF"/>
    <w:rsid w:val="001346D8"/>
    <w:rsid w:val="00134DD0"/>
    <w:rsid w:val="00135F80"/>
    <w:rsid w:val="0014553E"/>
    <w:rsid w:val="001455D3"/>
    <w:rsid w:val="0014618D"/>
    <w:rsid w:val="001502AB"/>
    <w:rsid w:val="00155D98"/>
    <w:rsid w:val="00156937"/>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5405E"/>
    <w:rsid w:val="00560012"/>
    <w:rsid w:val="0056765A"/>
    <w:rsid w:val="00574223"/>
    <w:rsid w:val="00580642"/>
    <w:rsid w:val="00581999"/>
    <w:rsid w:val="005825C6"/>
    <w:rsid w:val="00585200"/>
    <w:rsid w:val="005903EE"/>
    <w:rsid w:val="0059072C"/>
    <w:rsid w:val="00590B31"/>
    <w:rsid w:val="00595133"/>
    <w:rsid w:val="00595CB9"/>
    <w:rsid w:val="005A1C5D"/>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5983"/>
    <w:rsid w:val="005F6242"/>
    <w:rsid w:val="0060340C"/>
    <w:rsid w:val="006045A1"/>
    <w:rsid w:val="00606046"/>
    <w:rsid w:val="0060697A"/>
    <w:rsid w:val="00613BE5"/>
    <w:rsid w:val="006148AA"/>
    <w:rsid w:val="006172F8"/>
    <w:rsid w:val="006202E0"/>
    <w:rsid w:val="00624A21"/>
    <w:rsid w:val="0062718A"/>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83083"/>
    <w:rsid w:val="00693453"/>
    <w:rsid w:val="00694CF3"/>
    <w:rsid w:val="006A1AEB"/>
    <w:rsid w:val="006A682E"/>
    <w:rsid w:val="006C4859"/>
    <w:rsid w:val="006C7A0A"/>
    <w:rsid w:val="006C7F08"/>
    <w:rsid w:val="006D3F80"/>
    <w:rsid w:val="006D5801"/>
    <w:rsid w:val="006E1ED7"/>
    <w:rsid w:val="006E2F94"/>
    <w:rsid w:val="006E4315"/>
    <w:rsid w:val="006E51F7"/>
    <w:rsid w:val="006F34AB"/>
    <w:rsid w:val="006F5B3A"/>
    <w:rsid w:val="00700DE4"/>
    <w:rsid w:val="00703BB5"/>
    <w:rsid w:val="0071464C"/>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14E"/>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2400"/>
    <w:rsid w:val="007E5404"/>
    <w:rsid w:val="007E66F8"/>
    <w:rsid w:val="007E6810"/>
    <w:rsid w:val="007F4B8E"/>
    <w:rsid w:val="00802512"/>
    <w:rsid w:val="00805C88"/>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0B0C"/>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1658"/>
    <w:rsid w:val="00935397"/>
    <w:rsid w:val="00935400"/>
    <w:rsid w:val="009357D9"/>
    <w:rsid w:val="00935AC5"/>
    <w:rsid w:val="009419A9"/>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E7D9D"/>
    <w:rsid w:val="009F03CA"/>
    <w:rsid w:val="009F2054"/>
    <w:rsid w:val="00A011E5"/>
    <w:rsid w:val="00A01A2E"/>
    <w:rsid w:val="00A03379"/>
    <w:rsid w:val="00A0460A"/>
    <w:rsid w:val="00A046E5"/>
    <w:rsid w:val="00A050BB"/>
    <w:rsid w:val="00A07323"/>
    <w:rsid w:val="00A1002B"/>
    <w:rsid w:val="00A10532"/>
    <w:rsid w:val="00A1221A"/>
    <w:rsid w:val="00A1238C"/>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95DD2"/>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2FD2"/>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3C2C"/>
    <w:rsid w:val="00B46FEC"/>
    <w:rsid w:val="00B501D0"/>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0E3"/>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3DB6"/>
    <w:rsid w:val="00CE48C1"/>
    <w:rsid w:val="00CE538F"/>
    <w:rsid w:val="00CF0ED5"/>
    <w:rsid w:val="00CF51FF"/>
    <w:rsid w:val="00CF6DEE"/>
    <w:rsid w:val="00CF79C9"/>
    <w:rsid w:val="00D03CA2"/>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A63EE"/>
    <w:rsid w:val="00DB2270"/>
    <w:rsid w:val="00DB6495"/>
    <w:rsid w:val="00DC4733"/>
    <w:rsid w:val="00DC6B78"/>
    <w:rsid w:val="00DD23B6"/>
    <w:rsid w:val="00DD5132"/>
    <w:rsid w:val="00DD7FD5"/>
    <w:rsid w:val="00DE3FF8"/>
    <w:rsid w:val="00DE6E61"/>
    <w:rsid w:val="00DF3F3C"/>
    <w:rsid w:val="00DF6209"/>
    <w:rsid w:val="00E00BB4"/>
    <w:rsid w:val="00E00C9B"/>
    <w:rsid w:val="00E02D2E"/>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4309"/>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15C4"/>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989"/>
    <w:rsid w:val="00F83C5C"/>
    <w:rsid w:val="00F84FF9"/>
    <w:rsid w:val="00F850F1"/>
    <w:rsid w:val="00F85CFC"/>
    <w:rsid w:val="00F86C18"/>
    <w:rsid w:val="00F9104C"/>
    <w:rsid w:val="00FA0D1A"/>
    <w:rsid w:val="00FA17EE"/>
    <w:rsid w:val="00FA2A5B"/>
    <w:rsid w:val="00FA7FFD"/>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B69C9"/>
  <w15:docId w15:val="{6218846B-36B7-4DC6-B388-43DE9C295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 w:type="paragraph" w:customStyle="1" w:styleId="Text1-2">
    <w:name w:val="_Text_1-2"/>
    <w:basedOn w:val="Text1-1"/>
    <w:link w:val="Text1-2Char"/>
    <w:qFormat/>
    <w:rsid w:val="00AF2FD2"/>
    <w:pPr>
      <w:numPr>
        <w:ilvl w:val="2"/>
      </w:numPr>
    </w:pPr>
  </w:style>
  <w:style w:type="paragraph" w:customStyle="1" w:styleId="Text1-1">
    <w:name w:val="_Text_1-1"/>
    <w:basedOn w:val="Normln"/>
    <w:link w:val="Text1-1Char"/>
    <w:rsid w:val="00AF2FD2"/>
    <w:pPr>
      <w:numPr>
        <w:ilvl w:val="1"/>
        <w:numId w:val="38"/>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F2FD2"/>
    <w:pPr>
      <w:keepNext/>
      <w:numPr>
        <w:numId w:val="38"/>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F2FD2"/>
    <w:rPr>
      <w:rFonts w:ascii="Verdana" w:eastAsiaTheme="minorHAnsi" w:hAnsi="Verdana" w:cstheme="minorBidi"/>
      <w:sz w:val="18"/>
      <w:szCs w:val="18"/>
      <w:lang w:eastAsia="en-US"/>
    </w:rPr>
  </w:style>
  <w:style w:type="character" w:customStyle="1" w:styleId="Text1-2Char">
    <w:name w:val="_Text_1-2 Char"/>
    <w:basedOn w:val="Text1-1Char"/>
    <w:link w:val="Text1-2"/>
    <w:rsid w:val="00AF2FD2"/>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C407E-AEE4-4404-B00B-06330B9D7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5921</Words>
  <Characters>34934</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40774</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15</cp:revision>
  <cp:lastPrinted>2021-03-25T14:38:00Z</cp:lastPrinted>
  <dcterms:created xsi:type="dcterms:W3CDTF">2021-02-04T14:47:00Z</dcterms:created>
  <dcterms:modified xsi:type="dcterms:W3CDTF">2021-03-25T14:38:00Z</dcterms:modified>
</cp:coreProperties>
</file>